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E945A8" w:rsidRPr="002908E7" w14:paraId="640855F5" w14:textId="77777777" w:rsidTr="00E945A8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467AF297" w14:textId="77777777" w:rsidR="00E945A8" w:rsidRPr="002908E7" w:rsidRDefault="00E945A8" w:rsidP="00E945A8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75B96298" w14:textId="77777777" w:rsidR="00E945A8" w:rsidRPr="00463580" w:rsidRDefault="00E945A8" w:rsidP="00E945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ТЕТЕВЕН</w:t>
            </w:r>
          </w:p>
        </w:tc>
      </w:tr>
      <w:tr w:rsidR="00E945A8" w:rsidRPr="002908E7" w14:paraId="0C3807EA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2ED671D8" w14:textId="77777777" w:rsidR="00E945A8" w:rsidRPr="002908E7" w:rsidRDefault="00E945A8" w:rsidP="00E945A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3DA3D23" w14:textId="77777777" w:rsidR="00E945A8" w:rsidRPr="002908E7" w:rsidRDefault="00E945A8" w:rsidP="00E945A8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6686778" w14:textId="77777777" w:rsidR="00E945A8" w:rsidRPr="002908E7" w:rsidRDefault="00E945A8" w:rsidP="00E945A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E5634E5" w14:textId="4B4B47DF" w:rsidR="00E945A8" w:rsidRPr="002908E7" w:rsidRDefault="006462B3" w:rsidP="00E945A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E945A8" w:rsidRPr="002908E7" w14:paraId="43C7F68B" w14:textId="77777777" w:rsidTr="00E945A8">
        <w:tc>
          <w:tcPr>
            <w:tcW w:w="14784" w:type="dxa"/>
            <w:gridSpan w:val="3"/>
            <w:shd w:val="clear" w:color="auto" w:fill="FBE4D5" w:themeFill="accent2" w:themeFillTint="33"/>
            <w:vAlign w:val="center"/>
          </w:tcPr>
          <w:p w14:paraId="5C9463DD" w14:textId="77777777" w:rsidR="00E945A8" w:rsidRPr="002908E7" w:rsidRDefault="00E945A8" w:rsidP="00E945A8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E945A8" w:rsidRPr="002908E7" w14:paraId="7464F50A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694A037E" w14:textId="77777777" w:rsidR="00E945A8" w:rsidRPr="002908E7" w:rsidRDefault="00E945A8" w:rsidP="00E945A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5774E02C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последователен и структуриран подход при формулирането на публични политики, които ясно поставят в центъра обществения интерес и дългосрочното благо на местната общност. </w:t>
            </w:r>
            <w:r>
              <w:rPr>
                <w:rFonts w:ascii="Times New Roman" w:eastAsia="Calibri" w:hAnsi="Times New Roman" w:cs="Times New Roman"/>
                <w:lang w:val="bg-BG"/>
              </w:rPr>
              <w:t>У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бедителни доказателства в тази насока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9C8EB4D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Водещ документ за развитие е Планът за интегрирано развитие на общината (ПИРО) 2021–2027 г., който е разработен с активно участие на обществеността и съдържа ясно дефинирани стратегически цели, насочени към повишаване на качеството на живот, устойчиво управление на ресурси и социална справедливост:</w:t>
            </w:r>
          </w:p>
          <w:p w14:paraId="6BF7B15A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ПИРО – Тетевен 2021–2027</w:t>
            </w:r>
          </w:p>
          <w:p w14:paraId="185BB55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Към този стратегически документ са приложени секторни политики, включително:</w:t>
            </w:r>
          </w:p>
          <w:p w14:paraId="1149B1BD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Стратегия за управление на общинската собственост (2023–2027)</w:t>
            </w:r>
          </w:p>
          <w:p w14:paraId="53346A4A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Стратегия за развитие на образованието (2022–2026)</w:t>
            </w:r>
          </w:p>
          <w:p w14:paraId="1CDE6F6D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– Програма за опазване на околната среда (2021–2027)</w:t>
            </w:r>
          </w:p>
          <w:p w14:paraId="1C657A92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Програма за управление на отпадъците (2021–2027)</w:t>
            </w:r>
          </w:p>
          <w:p w14:paraId="7C1C01E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Тези документи отразяват приоритета на устойчивото развитие и защитата на публичния интерес в различните аспекти на местната политика.</w:t>
            </w:r>
          </w:p>
          <w:p w14:paraId="5983384A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Също така, Етичният кодекс и Хартата на клиента затвърждават принципа, че служителите и изборните представители работят за общото благо и з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ащитата на обществения интерес: Етичен кодекс и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</w:p>
          <w:p w14:paraId="1A136280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Формулирането и прилагането на политиките е подкрепено с реални механизми за участие на гражданите – чрез обществени обсъждания, публично оповестяване и включване на заинтересовани страни.</w:t>
            </w:r>
          </w:p>
          <w:p w14:paraId="74B68663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Всичко това показва, че в община Тетевен публичният интерес е водещ принцип, интегриран както в стратегическите документи, така и в ежедневните управленски практики – в пълно съответствие с принципите на етично поведение и добро управление.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194E8585" w14:textId="44362757" w:rsidR="00E945A8" w:rsidRPr="006462B3" w:rsidRDefault="006462B3" w:rsidP="006462B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12744231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60196389" w14:textId="77777777" w:rsidR="00E945A8" w:rsidRPr="002908E7" w:rsidRDefault="00E945A8" w:rsidP="00E945A8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490C75FB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В община Тетевен процесът на бюджетиране се ръководи от ясно заявени и приети местни обществени приоритети, отразени в стратегическите и програмни документи, като ПИРО и годишните общински програми.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E16F7A5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Всяка година се изготвя проектобюджет, съгласуван с приоритетите от Плана за интегрирано развитие на общината (ПИРО), в който ясно са обвързани финансовите разходи с обществено значими цели – образование, инфраструктура, здравеопазване, социални услуг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и опазване на околната среда: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ПИРО – Тетевен 2021–2027</w:t>
            </w:r>
          </w:p>
          <w:p w14:paraId="5227707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Преди приемането на бюджета се провеждат публични обсъждания, на които се канят граждани, бизнес, НПО и съветници, като събраните предложения реално се отразяват в бюджетните решения – доказателство за това са представените протоколи и доклади.</w:t>
            </w:r>
          </w:p>
          <w:p w14:paraId="4E13A635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Разходните пера на бюджета показват ясна насоченост към удовлетворяване на местните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нужди – инвестиции в села, малки населени места, общинска пътна мрежа, социални дейности и проекти, които подобряват условията за живот на жителите.</w:t>
            </w:r>
          </w:p>
          <w:p w14:paraId="62DC1293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годишните отчети за изпълнението на бюджета и програмите показват висока степен на съответствие между планираното и постигнатото, както и реална обвързаност между публичната политика и разпределението на финансовите ресурси.</w:t>
            </w:r>
          </w:p>
          <w:p w14:paraId="2FC16AA5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Разработени са програмни бюджети, в които бюджетните дейности са групирани според цели и очаквани резултати, а индикаторите позволяват проследяване на въздействието върху местната общност.</w:t>
            </w:r>
          </w:p>
          <w:p w14:paraId="2A24FC3B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Всичко това показва, че в община Тетевен бюджетната политика не се формира формално или административно, а се води от стратегически ориентирани обществени приоритети и принципи на участие, прозрачност и ефикасност.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67ED376D" w14:textId="2D23E325" w:rsidR="00E945A8" w:rsidRPr="002908E7" w:rsidRDefault="006462B3" w:rsidP="006462B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7D1FAE26" w14:textId="77777777" w:rsidTr="00E945A8">
        <w:tc>
          <w:tcPr>
            <w:tcW w:w="14784" w:type="dxa"/>
            <w:gridSpan w:val="3"/>
            <w:shd w:val="clear" w:color="auto" w:fill="FBE4D5" w:themeFill="accent2" w:themeFillTint="33"/>
            <w:vAlign w:val="center"/>
          </w:tcPr>
          <w:p w14:paraId="111C135E" w14:textId="77777777" w:rsidR="00E945A8" w:rsidRPr="002908E7" w:rsidRDefault="00E945A8" w:rsidP="00E945A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E945A8" w:rsidRPr="002908E7" w14:paraId="1E273E9A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4368E011" w14:textId="77777777" w:rsidR="00E945A8" w:rsidRPr="002908E7" w:rsidRDefault="00E945A8" w:rsidP="00E945A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2968B42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е въвела и прилага етични стандарти за поведение на изборни представители и длъжностни лица, които гарантират почтеност, отчетност и предотвратяване на конфликт на интереси.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0D537E8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 общината е в сила Етичен кодекс на служителите в общинската администрация, публикуван на интернет стран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ицата и достъпен за гражданите: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Етичен кодекс на община Тетевен</w:t>
            </w:r>
          </w:p>
          <w:p w14:paraId="7ECE8808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Кодексът включва правила за поведение, избягване на конфликт на интереси, работа в интерес на обществото и недопускане на корупционни практики.</w:t>
            </w:r>
          </w:p>
          <w:p w14:paraId="5445A96B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Кметът, заместник-кметовете, секретарят на общината и всички служители, заемащи публични длъжности, са задължени ежегодно да подават декларации по чл. 35 от ЗПКОНПИ, в които се вписват:</w:t>
            </w:r>
          </w:p>
          <w:p w14:paraId="0F815A4C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лични и свързани интереси</w:t>
            </w:r>
          </w:p>
          <w:p w14:paraId="7071C2B7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получени подаръци, услуги или гостоприемство</w:t>
            </w:r>
          </w:p>
          <w:p w14:paraId="5747CDA8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участия във фирми или други организации</w:t>
            </w:r>
          </w:p>
          <w:p w14:paraId="78A98483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A4D97AB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Тези декларации са публично достъпни чрез Единния публичен регистър на КПКОНПИ, както и през сайта на общината, при спазване на нормативните ограничения за защита на лични данни.</w:t>
            </w:r>
          </w:p>
          <w:p w14:paraId="2DC03B30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Служителите и изборните представители преминават обучения по етика и антикорупционно поведение, включително в рамките на вътрешноорганизационни инструкции и разяснителни кампании.</w:t>
            </w:r>
          </w:p>
          <w:p w14:paraId="42AB5F87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 общината действа и система за вътрешен сигнализиращ механизъм, чрез която граждани и служители могат да подават сигнали за етични нар</w:t>
            </w:r>
            <w:r>
              <w:rPr>
                <w:rFonts w:ascii="Times New Roman" w:eastAsia="Calibri" w:hAnsi="Times New Roman" w:cs="Times New Roman"/>
                <w:lang w:val="bg-BG"/>
              </w:rPr>
              <w:t>ушения или непочтено поведение.</w:t>
            </w:r>
          </w:p>
          <w:p w14:paraId="437C95A2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Всичко това доказва, че в община Тетевен е изграден стабилен етичен и антикорупционен механизъм, основан на прозрачност, превенция и публична отчетност – в пълно съответствие с добрите практики в местното самоуправление.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1D854EA8" w14:textId="759769B5" w:rsidR="00E945A8" w:rsidRPr="002908E7" w:rsidRDefault="006462B3" w:rsidP="006462B3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679D21DB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62995CEE" w14:textId="77777777" w:rsidR="00E945A8" w:rsidRPr="002908E7" w:rsidRDefault="00E945A8" w:rsidP="00E945A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308EFF23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е въвела специфични, ясно формулирани и публично достъпни процедури за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вземане на решения в чувствителни към корупционен риск области, като обществени поръчки, разпореждане с общинско имущество и издаване на разрешителни.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8DEB209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Общината прилага всички разпоредби на Закона за обществените поръчки (ЗОП), като публикува процедурите чрез ЦАИС ЕОП (Централизираната автоматизирана информационна система „Електронни обществени поръчки“) и Профила на купувача:</w:t>
            </w:r>
          </w:p>
          <w:p w14:paraId="1260F8A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Профил на купувача – Тетевен</w:t>
            </w:r>
          </w:p>
          <w:p w14:paraId="2D311D54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При извършване на продажби, отдаване под наем или учредяване на вещни права върху общинска собственост, се спазват редът и процедурите по ЗОС и Наредбата за общинската собственост, които включват:</w:t>
            </w:r>
          </w:p>
          <w:p w14:paraId="503EEB7E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провеждане на публични търгове или конкурси</w:t>
            </w:r>
          </w:p>
          <w:p w14:paraId="18DD21A9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изготвяне на оценки от независими оценители</w:t>
            </w:r>
          </w:p>
          <w:p w14:paraId="7660FE8C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публично обявяване на условията</w:t>
            </w:r>
          </w:p>
          <w:p w14:paraId="02123CD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Издаването на разрешителни, лицензи и удостоверения (например по ЗУТ, ЗООС, ЗЗБУТ и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други специални режими) се извършва чрез стандартизирани административни процедури, публикувани в раздел „Административно обслужване“ на сайта на общината, с описани критерии, срокове и документи.</w:t>
            </w:r>
          </w:p>
          <w:p w14:paraId="10B5DBCE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Налице е контролен механизъм чрез вътрешен одит и вторично ниво на контрол, както и чрез външни институции (Сметна палата, АДФИ, КПКОНПИ), чиито препоръки се изпълняват системно.</w:t>
            </w:r>
          </w:p>
          <w:p w14:paraId="2BBE286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Общината поддържа антикорупционна форма за сигнали, както и телефон и имейл за граждански оплаквания, включително по съмнения за наруш</w:t>
            </w:r>
            <w:r>
              <w:rPr>
                <w:rFonts w:ascii="Times New Roman" w:eastAsia="Calibri" w:hAnsi="Times New Roman" w:cs="Times New Roman"/>
                <w:lang w:val="bg-BG"/>
              </w:rPr>
              <w:t>ения в изброените уязвими зони.</w:t>
            </w:r>
          </w:p>
          <w:p w14:paraId="3921F674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Тези механизми гарантират, че всички решения в потенциално рискови области се вземат при висока степен на прозрачност, по регламентирани процедури и с възможност за обществен и институционален контрол.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66F88898" w14:textId="6188B3F4" w:rsidR="00E945A8" w:rsidRPr="002908E7" w:rsidRDefault="006462B3" w:rsidP="006462B3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2F3E2C8E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1228CB51" w14:textId="77777777" w:rsidR="00E945A8" w:rsidRPr="002908E7" w:rsidRDefault="00E945A8" w:rsidP="00E945A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420CA676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систематичен подход към превенцията и контрола на корупционните рискове,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включително чрез годишен преглед на прилаганите антикорупционни мерки, осъществяван както от вътрешни, така и от външни органи за контрол.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A5AD401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 общината функционира звено за вътрешен одит, което ежегодно изготвя одитни доклади и оценки на риска, включително в направления с потенциален корупционен риск – обществени поръчки, разходване на средства, административно обслужване и управление на общинска собственост</w:t>
            </w:r>
          </w:p>
          <w:p w14:paraId="09843416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Докладите от вътрешен одит се представят на кмета и включват конкретни препоръки, като изпълнението им се следи и отразява в последващите отчети.</w:t>
            </w:r>
          </w:p>
          <w:p w14:paraId="2FCEDE13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Общината е обект и на външни контролни прегледи – от Сметна палата, Агенция за държавна финансова инспекция (АДФИ) и КПКОНПИ, при които се проверява законосъобразността и ефективността на действията срещу корупция.</w:t>
            </w:r>
          </w:p>
          <w:p w14:paraId="2E2A4D94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27EEF5F7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 допълнение, администрацията изготвя и Годишен доклад за състоянието на антикорупционната политика, в който се описват:</w:t>
            </w:r>
          </w:p>
          <w:p w14:paraId="155EDE59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предприетите действия по сигнали и проверки</w:t>
            </w:r>
          </w:p>
          <w:p w14:paraId="7384B919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състоянието на нормативната и процедурна рамка</w:t>
            </w:r>
          </w:p>
          <w:p w14:paraId="45BDD9D6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– необходимостта от подобрения</w:t>
            </w:r>
          </w:p>
          <w:p w14:paraId="1F5AB3F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Вътрешните правила за антикорупционно поведение, както и етичният кодекс, се актуализират при необходимост след анализ на резултатите от контрола и одитите.</w:t>
            </w:r>
          </w:p>
          <w:p w14:paraId="75B7FB86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Гражданите и служителите могат да подават сигнали чрез антикорупционната електронна форма, а резултатите от проверките също се публикуват при обществен интерес.</w:t>
            </w:r>
          </w:p>
          <w:p w14:paraId="2E39453B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621C485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Всичко това показва, че в община Тетевен антикорупционната дейност не се свежда до формални декларации, а включва реални, измерими и ежегодно оценявани механизми за превенция, откриване и ограничаване на злоупотреби.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387D0539" w14:textId="6443B410" w:rsidR="00E945A8" w:rsidRPr="002908E7" w:rsidRDefault="006462B3" w:rsidP="006462B3">
            <w:pPr>
              <w:jc w:val="center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789DD05A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7F401D0C" w14:textId="77777777" w:rsidR="00E945A8" w:rsidRPr="002908E7" w:rsidRDefault="00E945A8" w:rsidP="00E945A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59A750EA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прозрачна, нормативно регламентирана и еднакво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приложима кадрова политика, при която назначаването, повишаването, възнаграждаването и дисциплинарната отговорност на служителите се извършват единствено въз основа на утвърдени процедури, в съответствие със законовата уредба и вътрешните правила.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02D80F15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Назначаването на служители се извършва по реда на Закона за държавния служител и Кодекса на труда, както и на основание вътрешните правила за подбор, публикувани в раздел „Административно обслужване“ на сайта на общината</w:t>
            </w:r>
          </w:p>
          <w:p w14:paraId="35C74596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Всички конкурси и процедури по назначаване се обявяват публично чрез официалната интернет страница, регистъра на администрацията и портала за обществени обяви, като се прилагат ясни критерии, срокове и етапи на подбор.</w:t>
            </w:r>
          </w:p>
          <w:p w14:paraId="38C564BC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Повишенията и възнагражденията се базират на годишна оценка на изпълнението, съгласно утвърдената в администрацията система за атестация. Резултатите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от оценяването се отразяват документално и са основание за прилагане на премии, поощрения или кариерно развитие.</w:t>
            </w:r>
          </w:p>
          <w:p w14:paraId="07B65798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При необходимост от дисциплинарна отговорност се спазват изискванията на Кодекса на труда и ЗДСл, както и вътрешни процедури, гарантиращи правото на защита, писмено уведомяване и мотивираност на санкцията.</w:t>
            </w:r>
          </w:p>
          <w:p w14:paraId="794B06C8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Всички действия в областта на човешките ресурси се документират и подлежат на вътрешен и външен контрол, включително от страна на Инспекцията по труда и Агенцията за държавна служба при необходимост.</w:t>
            </w:r>
          </w:p>
          <w:p w14:paraId="4E501912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Не се допуска субективизъм или дискриминация – общината прилага равен подход към всички кандидати и служители, в съответствие с изискванията на Закона за защита от дискриминация.</w:t>
            </w:r>
          </w:p>
          <w:p w14:paraId="71DEAF76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6FE3F9A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Тези механизми показват, че в община Тетевен се прилага стабилна и правно гарантирана кадрова политика, ориентирана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към професионализъм, прозрачност и почтеност в управлението на човешките ресурси.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62DAA2A0" w14:textId="366354D4" w:rsidR="00E945A8" w:rsidRPr="002908E7" w:rsidRDefault="006462B3" w:rsidP="006462B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499A5AB2" w14:textId="77777777" w:rsidTr="00E945A8">
        <w:tc>
          <w:tcPr>
            <w:tcW w:w="14784" w:type="dxa"/>
            <w:gridSpan w:val="3"/>
            <w:shd w:val="clear" w:color="auto" w:fill="FBE4D5" w:themeFill="accent2" w:themeFillTint="33"/>
            <w:vAlign w:val="center"/>
          </w:tcPr>
          <w:p w14:paraId="594F130A" w14:textId="77777777" w:rsidR="00E945A8" w:rsidRPr="002908E7" w:rsidRDefault="00E945A8" w:rsidP="00E945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E945A8" w:rsidRPr="002908E7" w14:paraId="08AA84B2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4196465D" w14:textId="77777777" w:rsidR="00E945A8" w:rsidRPr="002908E7" w:rsidRDefault="00E945A8" w:rsidP="00E945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3D16469C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стриктно изискванията на Закона за противодействие на корупцията и за отнемане на незаконно придобитото имущество (ЗПКОНПИ), като осигурява механизми за деклариране на конфликт на интереси и въздържане от участие в решения при наличие на лична или свързана заинтересованост.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 потвърждава от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1A9FACE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Всички изборни длъжности (кмет, общински съветници), както и служители на ръководни позиции, подават годишни декларации по чл. 35 от ЗПКОНПИ, в които декларират интереси, участия в дружества, имущество и обстоятелства, които биха могли да създадат конфликт на интереси.</w:t>
            </w:r>
          </w:p>
          <w:p w14:paraId="7ABA13A1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Декларациите са публично достъпни чрез регистъра на КПКОНПИ и са вписани в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съответните раздели на сайта на общината</w:t>
            </w:r>
          </w:p>
          <w:p w14:paraId="4F8FFA47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Вътрешните правила на администрацията предвиждат процедура за самостоятелно уведомяване, при която служител или изборно лице трябва незабавно да декларира потенциален конфликт пред прекия ръководител или органа, който е компетентен да отстрани лицето от съответното производство.</w:t>
            </w:r>
          </w:p>
          <w:p w14:paraId="61815A1F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В такива случаи се прилага механизъм за изключване от участие в приемането на решения – съответното лице не участва в обсъждане, гласуване или административни действия, като това се документира и подлежи на проверка.</w:t>
            </w:r>
          </w:p>
          <w:p w14:paraId="3A6B396B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>Служителите преминават обучения и инструктажи по антикорупционна тематика, включително относно поведението при конфликт на интереси, което допълнително гарантира информираност и спазване на задълженията.</w:t>
            </w:r>
          </w:p>
          <w:p w14:paraId="3E8695C3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t xml:space="preserve">При наличие на сигнали или съмнения, се извършват вътрешни проверки, а при установяване на </w:t>
            </w:r>
            <w:r w:rsidRPr="00E64071">
              <w:rPr>
                <w:rFonts w:ascii="Times New Roman" w:eastAsia="Calibri" w:hAnsi="Times New Roman" w:cs="Times New Roman"/>
                <w:lang w:val="bg-BG"/>
              </w:rPr>
              <w:lastRenderedPageBreak/>
              <w:t>нарушение – общината съдейства на КПКОНПИ, като предоставя документи и информация по официален ред.</w:t>
            </w:r>
          </w:p>
          <w:p w14:paraId="4C2C3627" w14:textId="77777777" w:rsidR="00E945A8" w:rsidRPr="00E64071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726479D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64071">
              <w:rPr>
                <w:rFonts w:ascii="Times New Roman" w:eastAsia="Calibri" w:hAnsi="Times New Roman" w:cs="Times New Roman"/>
                <w:lang w:val="bg-BG"/>
              </w:rPr>
              <w:t>Всичко това показва, че в община Тетевен е изградена функционираща система за предотвратяване и управление на конфликт на интереси, която осигурява прозрачност, доверие и почтеност при вземането на публични решения.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72963CE1" w14:textId="4EA71F6E" w:rsidR="00E945A8" w:rsidRPr="002908E7" w:rsidRDefault="006462B3" w:rsidP="006462B3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2E3E898A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10B14502" w14:textId="77777777" w:rsidR="00E945A8" w:rsidRPr="002908E7" w:rsidRDefault="00E945A8" w:rsidP="00E945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7BB114DF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Община Тетевен прилага ефективен и прозрачен механизъм за възлагане на обществени поръчки, основан на предварително зададени, обективни и публично обявени критерии за подбор, в съответствие със Закона за обществените поръчки (ЗОП). Представените материали потвърждават следното:</w:t>
            </w:r>
          </w:p>
          <w:p w14:paraId="537AA33A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 xml:space="preserve">Всички процедури за обществени поръчки се обявяват и администрират чрез Централизираната автоматизирана информационна система за електронни обществени поръчки (ЦАИС ЕОП) и Профила на 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lastRenderedPageBreak/>
              <w:t>купувача на официалната интернет страница на общината:</w:t>
            </w:r>
          </w:p>
          <w:p w14:paraId="22D4B76C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Профил на купувача – Тетевен</w:t>
            </w:r>
          </w:p>
          <w:p w14:paraId="558D6B6C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За всяка процедура са публикувани тръжна документация, технически спецификации и критерии за подбор и оценка, които отговарят на изискванията на чл. 100 и сл. от ЗОП. Критериите се основават на:</w:t>
            </w:r>
          </w:p>
          <w:p w14:paraId="2D5EE920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– икономически най-изгодна оферта (цена/качество)</w:t>
            </w:r>
          </w:p>
          <w:p w14:paraId="2D2230C4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– професионален капацитет</w:t>
            </w:r>
          </w:p>
          <w:p w14:paraId="13B59544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– технически предложения</w:t>
            </w:r>
          </w:p>
          <w:p w14:paraId="382BFED0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– срок за изпълнение и гаранции</w:t>
            </w:r>
          </w:p>
          <w:p w14:paraId="0ADB3261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Комисиите за провеждане на процедурите действат съгласно вътрешна процедура и се назначават със заповед, като се води пълна документация и аудиозапис при разглеждането на офертите, когато е приложимо.</w:t>
            </w:r>
          </w:p>
          <w:p w14:paraId="16286B4A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 xml:space="preserve">Резултатите от процедурите, включително избраният изпълнител и </w:t>
            </w:r>
            <w:r>
              <w:rPr>
                <w:rFonts w:ascii="Times New Roman" w:eastAsia="Calibri" w:hAnsi="Times New Roman" w:cs="Times New Roman"/>
                <w:lang w:val="bg-BG"/>
              </w:rPr>
              <w:t>обосновката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 xml:space="preserve"> за избора, се публикуват своевременно, с което се осигурява прозрачност и контролируемост.</w:t>
            </w:r>
          </w:p>
          <w:p w14:paraId="27A8A444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 xml:space="preserve">Общината извършва планиране на поръчките чрез Годишен план, който е публичен, а изпълнението 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lastRenderedPageBreak/>
              <w:t>на поръчките подлежи на вътрешен и външен одит – от Сметна палата, АДФИ и Европейски контролни органи (при проекти с външно финансиране).</w:t>
            </w:r>
          </w:p>
          <w:p w14:paraId="0BB288E4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Според представените документи, няма данни за санкции или установени нарушения, свързани с процедурите по възлагане през последните години, което говори за стабилност, съответствие със ЗОП и добри практики.</w:t>
            </w:r>
          </w:p>
          <w:p w14:paraId="5B3A518B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7571C9B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Всичко това показва, че в община Тетевен е изградена функционираща система за възлагане на обществени поръчки, която е основана на законност, ефективност и равнопоставеност между участниците.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13F161B8" w14:textId="37597C36" w:rsidR="00E945A8" w:rsidRPr="002908E7" w:rsidRDefault="006462B3" w:rsidP="006462B3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1E181805" w14:textId="77777777" w:rsidTr="00E945A8">
        <w:tc>
          <w:tcPr>
            <w:tcW w:w="8784" w:type="dxa"/>
            <w:shd w:val="clear" w:color="auto" w:fill="FFFFFF" w:themeFill="background1"/>
            <w:vAlign w:val="center"/>
          </w:tcPr>
          <w:p w14:paraId="302F47BA" w14:textId="77777777" w:rsidR="00E945A8" w:rsidRPr="002908E7" w:rsidRDefault="00E945A8" w:rsidP="00E945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20DF872F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Община Тетевен гарантира пълен и свободен достъп до публичната документация, свързана с обществените поръчки, както и до решенията, протоколите и договорите по всяка отделна процедура, в съответствие със Закона за обществените поръчки (ЗОП) и принципа на прозрачн</w:t>
            </w:r>
            <w:r>
              <w:rPr>
                <w:rFonts w:ascii="Times New Roman" w:eastAsia="Calibri" w:hAnsi="Times New Roman" w:cs="Times New Roman"/>
                <w:lang w:val="bg-BG"/>
              </w:rPr>
              <w:t>ост. Това е ясно демонстрирано от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A51DD08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1995644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Всички обявления, тръжна документация, разяснения, решения и доклади по процедурите за обществени поръчки се публикуват своевременно в Профила на купувача на общината:</w:t>
            </w:r>
          </w:p>
          <w:p w14:paraId="228F7128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Профил на купувача – Тетевен</w:t>
            </w:r>
          </w:p>
          <w:p w14:paraId="73F4C825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Общината използва ЦАИС ЕОП (Централизираната електронна система за обществени поръчки), което осигурява национално достъпна, електронна и равнопоставена среда за всички заинтересовани страни.</w:t>
            </w:r>
          </w:p>
          <w:p w14:paraId="10AF31A0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общината се предоставя достъп до решенията за откриване и приключване на процедури,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обосновката 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за избор на изпълнител, сключените договори и анекси, което гарантира възможност за външен контрол, журналистически проверки и гражданско наблюдение.</w:t>
            </w:r>
          </w:p>
          <w:p w14:paraId="2C0F761B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Формулярите за обратна връзка, сигнали и възражения по процедурите са също достъпни за гражданите, а входящата информация се регистрира и разглежда своевременно.</w:t>
            </w:r>
          </w:p>
          <w:p w14:paraId="6832BF60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7DE4B058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CE2F27">
              <w:rPr>
                <w:rFonts w:ascii="Times New Roman" w:eastAsia="Calibri" w:hAnsi="Times New Roman" w:cs="Times New Roman"/>
                <w:lang w:val="bg-BG"/>
              </w:rPr>
              <w:t>Няма данни за отказан достъп до документация по ЗДОИ (Закон за достъп до обществена информация), което допълнително потвърждава спазването на принципа на публичност.</w:t>
            </w:r>
          </w:p>
          <w:p w14:paraId="494E2471" w14:textId="77777777" w:rsidR="00E945A8" w:rsidRPr="00CE2F27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55D8E249" w14:textId="77777777" w:rsidR="00E945A8" w:rsidRPr="008573D0" w:rsidRDefault="00E945A8" w:rsidP="00E945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E2F27">
              <w:rPr>
                <w:rFonts w:ascii="Times New Roman" w:eastAsia="Calibri" w:hAnsi="Times New Roman" w:cs="Times New Roman"/>
                <w:lang w:val="bg-BG"/>
              </w:rPr>
              <w:t>Тези практики показват, че община Тетевен осигурява високо ниво на прозрачност в процеса на възлагане на обществени поръчки, като предоставя свободен достъп до цялата релевантна информация – от публикуването на тръжната документация до окончателното изпълнение на договорите.</w:t>
            </w:r>
          </w:p>
        </w:tc>
        <w:tc>
          <w:tcPr>
            <w:tcW w:w="2456" w:type="dxa"/>
            <w:shd w:val="clear" w:color="auto" w:fill="FFFFFF" w:themeFill="background1"/>
            <w:vAlign w:val="center"/>
          </w:tcPr>
          <w:p w14:paraId="7C6DDF2F" w14:textId="127AAE6F" w:rsidR="00E945A8" w:rsidRPr="002908E7" w:rsidRDefault="006462B3" w:rsidP="006462B3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462B3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945A8" w:rsidRPr="002908E7" w14:paraId="69EE2217" w14:textId="77777777" w:rsidTr="00E945A8">
        <w:tc>
          <w:tcPr>
            <w:tcW w:w="8784" w:type="dxa"/>
            <w:shd w:val="clear" w:color="auto" w:fill="E2EFD9" w:themeFill="accent6" w:themeFillTint="33"/>
            <w:vAlign w:val="center"/>
          </w:tcPr>
          <w:p w14:paraId="1D5E3ABB" w14:textId="77777777" w:rsidR="00E945A8" w:rsidRDefault="00E945A8" w:rsidP="00E945A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2FFD347" w14:textId="77777777" w:rsidR="00E945A8" w:rsidRDefault="00E945A8" w:rsidP="00E945A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6B591F3C" w14:textId="77777777" w:rsidR="00E945A8" w:rsidRPr="008573D0" w:rsidRDefault="00E945A8" w:rsidP="00E945A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  <w:vAlign w:val="center"/>
          </w:tcPr>
          <w:p w14:paraId="551035D5" w14:textId="77777777" w:rsidR="00E945A8" w:rsidRPr="006E21C3" w:rsidRDefault="00E945A8" w:rsidP="00E945A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6F9EB3E7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4C78C" w14:textId="77777777" w:rsidR="00FE2B78" w:rsidRDefault="00FE2B78" w:rsidP="004256B0">
      <w:pPr>
        <w:spacing w:after="0" w:line="240" w:lineRule="auto"/>
      </w:pPr>
      <w:r>
        <w:separator/>
      </w:r>
    </w:p>
  </w:endnote>
  <w:endnote w:type="continuationSeparator" w:id="0">
    <w:p w14:paraId="6249EEFF" w14:textId="77777777" w:rsidR="00FE2B78" w:rsidRDefault="00FE2B78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7FE5A" w14:textId="77777777" w:rsidR="00FE2B78" w:rsidRDefault="00FE2B78" w:rsidP="004256B0">
      <w:pPr>
        <w:spacing w:after="0" w:line="240" w:lineRule="auto"/>
      </w:pPr>
      <w:r>
        <w:separator/>
      </w:r>
    </w:p>
  </w:footnote>
  <w:footnote w:type="continuationSeparator" w:id="0">
    <w:p w14:paraId="6F4D8C2A" w14:textId="77777777" w:rsidR="00FE2B78" w:rsidRDefault="00FE2B78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88845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02787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C51DD"/>
    <w:rsid w:val="000F02AB"/>
    <w:rsid w:val="000F7F8B"/>
    <w:rsid w:val="001861CD"/>
    <w:rsid w:val="001B1498"/>
    <w:rsid w:val="001B4F30"/>
    <w:rsid w:val="00246FD8"/>
    <w:rsid w:val="002908E7"/>
    <w:rsid w:val="002C34C7"/>
    <w:rsid w:val="002D51FC"/>
    <w:rsid w:val="002F4703"/>
    <w:rsid w:val="0039696B"/>
    <w:rsid w:val="004256B0"/>
    <w:rsid w:val="006462B3"/>
    <w:rsid w:val="009C3EFF"/>
    <w:rsid w:val="00AF2536"/>
    <w:rsid w:val="00B25F5C"/>
    <w:rsid w:val="00CB12FC"/>
    <w:rsid w:val="00CD7065"/>
    <w:rsid w:val="00E77B28"/>
    <w:rsid w:val="00E818DF"/>
    <w:rsid w:val="00E945A8"/>
    <w:rsid w:val="00FE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AC2F7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2581</Words>
  <Characters>14713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11</cp:revision>
  <dcterms:created xsi:type="dcterms:W3CDTF">2022-07-05T07:50:00Z</dcterms:created>
  <dcterms:modified xsi:type="dcterms:W3CDTF">2025-06-19T06:26:00Z</dcterms:modified>
</cp:coreProperties>
</file>